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ADDC" w14:textId="0EAFF987" w:rsidR="0043472C" w:rsidRDefault="00BF6DA4" w:rsidP="00BF6DA4">
      <w:pPr>
        <w:jc w:val="center"/>
        <w:rPr>
          <w:rFonts w:ascii="Times New Roman" w:hAnsi="Times New Roman" w:cs="Times New Roman"/>
          <w:b/>
          <w:bCs/>
          <w:sz w:val="28"/>
          <w:szCs w:val="28"/>
        </w:rPr>
      </w:pPr>
      <w:r>
        <w:rPr>
          <w:rFonts w:ascii="Times New Roman" w:hAnsi="Times New Roman" w:cs="Times New Roman"/>
          <w:b/>
          <w:bCs/>
          <w:sz w:val="28"/>
          <w:szCs w:val="28"/>
        </w:rPr>
        <w:t>Income Guidelines Used in the Determination of</w:t>
      </w:r>
    </w:p>
    <w:p w14:paraId="14286E75" w14:textId="450CAF14" w:rsidR="00BF6DA4" w:rsidRDefault="00BF6DA4" w:rsidP="00BF6DA4">
      <w:pPr>
        <w:jc w:val="center"/>
        <w:rPr>
          <w:rFonts w:ascii="Times New Roman" w:hAnsi="Times New Roman" w:cs="Times New Roman"/>
          <w:b/>
          <w:bCs/>
          <w:sz w:val="28"/>
          <w:szCs w:val="28"/>
        </w:rPr>
      </w:pPr>
      <w:r>
        <w:rPr>
          <w:rFonts w:ascii="Times New Roman" w:hAnsi="Times New Roman" w:cs="Times New Roman"/>
          <w:b/>
          <w:bCs/>
          <w:sz w:val="28"/>
          <w:szCs w:val="28"/>
        </w:rPr>
        <w:t>Poverty Exemptions for 2026</w:t>
      </w:r>
    </w:p>
    <w:p w14:paraId="6D42AFB9" w14:textId="7D1BA494" w:rsidR="00BF6DA4" w:rsidRDefault="00BF6DA4" w:rsidP="00BF6DA4">
      <w:pPr>
        <w:rPr>
          <w:rFonts w:ascii="Times New Roman" w:hAnsi="Times New Roman" w:cs="Times New Roman"/>
        </w:rPr>
      </w:pPr>
      <w:r>
        <w:rPr>
          <w:rFonts w:ascii="Times New Roman" w:hAnsi="Times New Roman" w:cs="Times New Roman"/>
        </w:rPr>
        <w:t xml:space="preserve">Local governing bodies are required to adopt guidelines that set income levels for their poverty exemptions and those income levels </w:t>
      </w:r>
      <w:r>
        <w:rPr>
          <w:rFonts w:ascii="Times New Roman" w:hAnsi="Times New Roman" w:cs="Times New Roman"/>
          <w:b/>
          <w:bCs/>
        </w:rPr>
        <w:t>shall not be set lower</w:t>
      </w:r>
      <w:r>
        <w:rPr>
          <w:rFonts w:ascii="Times New Roman" w:hAnsi="Times New Roman" w:cs="Times New Roman"/>
        </w:rPr>
        <w:t xml:space="preserve"> by a city or township than the federal poverty guidelines updated annually by the United States Department of Health and Human Services. This means, for example, that the income level for a household of 3 persons shall not be set lower than $26,650 which is the amount shown on the following chart for a family of 3 persons.</w:t>
      </w:r>
    </w:p>
    <w:p w14:paraId="2CE54AA2" w14:textId="1C87BDAC" w:rsidR="00BF6DA4" w:rsidRDefault="00BF6DA4" w:rsidP="00BF6DA4">
      <w:pPr>
        <w:rPr>
          <w:rFonts w:ascii="Times New Roman" w:hAnsi="Times New Roman" w:cs="Times New Roman"/>
        </w:rPr>
      </w:pPr>
      <w:r>
        <w:rPr>
          <w:rFonts w:ascii="Times New Roman" w:hAnsi="Times New Roman" w:cs="Times New Roman"/>
        </w:rPr>
        <w:t xml:space="preserve">Below are the federal poverty guidelines updated annually in the Federal Register by the US Department of Health and Human Services. </w:t>
      </w:r>
      <w:r w:rsidR="00440539">
        <w:rPr>
          <w:rFonts w:ascii="Times New Roman" w:hAnsi="Times New Roman" w:cs="Times New Roman"/>
        </w:rPr>
        <w:t>Otto</w:t>
      </w:r>
      <w:r>
        <w:rPr>
          <w:rFonts w:ascii="Times New Roman" w:hAnsi="Times New Roman" w:cs="Times New Roman"/>
        </w:rPr>
        <w:t xml:space="preserve"> Township will follow these guidelines for establishing 2026 poverty exemptions.</w:t>
      </w:r>
    </w:p>
    <w:tbl>
      <w:tblPr>
        <w:tblStyle w:val="TableGrid"/>
        <w:tblW w:w="0" w:type="auto"/>
        <w:tblLook w:val="04A0" w:firstRow="1" w:lastRow="0" w:firstColumn="1" w:lastColumn="0" w:noHBand="0" w:noVBand="1"/>
      </w:tblPr>
      <w:tblGrid>
        <w:gridCol w:w="4675"/>
        <w:gridCol w:w="4675"/>
      </w:tblGrid>
      <w:tr w:rsidR="00336603" w14:paraId="1AA230F9" w14:textId="77777777" w:rsidTr="00336603">
        <w:tc>
          <w:tcPr>
            <w:tcW w:w="4675" w:type="dxa"/>
          </w:tcPr>
          <w:p w14:paraId="1EAEAADA" w14:textId="2068CDD5" w:rsidR="00336603" w:rsidRPr="00336603" w:rsidRDefault="00336603" w:rsidP="00336603">
            <w:pPr>
              <w:jc w:val="center"/>
              <w:rPr>
                <w:rFonts w:ascii="Times New Roman" w:hAnsi="Times New Roman" w:cs="Times New Roman"/>
                <w:b/>
                <w:bCs/>
              </w:rPr>
            </w:pPr>
            <w:r>
              <w:rPr>
                <w:rFonts w:ascii="Times New Roman" w:hAnsi="Times New Roman" w:cs="Times New Roman"/>
                <w:b/>
                <w:bCs/>
              </w:rPr>
              <w:t>Size of Family Unit</w:t>
            </w:r>
          </w:p>
        </w:tc>
        <w:tc>
          <w:tcPr>
            <w:tcW w:w="4675" w:type="dxa"/>
          </w:tcPr>
          <w:p w14:paraId="2DDD3760" w14:textId="5EB915DE" w:rsidR="00336603" w:rsidRPr="00336603" w:rsidRDefault="00336603" w:rsidP="00336603">
            <w:pPr>
              <w:jc w:val="center"/>
              <w:rPr>
                <w:rFonts w:ascii="Times New Roman" w:hAnsi="Times New Roman" w:cs="Times New Roman"/>
                <w:b/>
                <w:bCs/>
              </w:rPr>
            </w:pPr>
            <w:r>
              <w:rPr>
                <w:rFonts w:ascii="Times New Roman" w:hAnsi="Times New Roman" w:cs="Times New Roman"/>
                <w:b/>
                <w:bCs/>
              </w:rPr>
              <w:t>Poverty Guidelines</w:t>
            </w:r>
          </w:p>
        </w:tc>
      </w:tr>
      <w:tr w:rsidR="00336603" w14:paraId="6DE017EC" w14:textId="77777777" w:rsidTr="00336603">
        <w:tc>
          <w:tcPr>
            <w:tcW w:w="4675" w:type="dxa"/>
          </w:tcPr>
          <w:p w14:paraId="5B3D84CA" w14:textId="6FAD28A3" w:rsidR="00336603" w:rsidRPr="00336603" w:rsidRDefault="00336603" w:rsidP="00336603">
            <w:pPr>
              <w:jc w:val="center"/>
              <w:rPr>
                <w:rFonts w:ascii="Times New Roman" w:hAnsi="Times New Roman" w:cs="Times New Roman"/>
                <w:b/>
                <w:bCs/>
              </w:rPr>
            </w:pPr>
            <w:r>
              <w:rPr>
                <w:rFonts w:ascii="Times New Roman" w:hAnsi="Times New Roman" w:cs="Times New Roman"/>
                <w:b/>
                <w:bCs/>
              </w:rPr>
              <w:t>1</w:t>
            </w:r>
          </w:p>
        </w:tc>
        <w:tc>
          <w:tcPr>
            <w:tcW w:w="4675" w:type="dxa"/>
          </w:tcPr>
          <w:p w14:paraId="621C2C65" w14:textId="4884E702" w:rsidR="00336603" w:rsidRPr="00336603" w:rsidRDefault="00336603" w:rsidP="00336603">
            <w:pPr>
              <w:jc w:val="center"/>
              <w:rPr>
                <w:rFonts w:ascii="Times New Roman" w:hAnsi="Times New Roman" w:cs="Times New Roman"/>
                <w:b/>
                <w:bCs/>
              </w:rPr>
            </w:pPr>
            <w:r>
              <w:rPr>
                <w:rFonts w:ascii="Times New Roman" w:hAnsi="Times New Roman" w:cs="Times New Roman"/>
                <w:b/>
                <w:bCs/>
              </w:rPr>
              <w:t>$15,650</w:t>
            </w:r>
          </w:p>
        </w:tc>
      </w:tr>
      <w:tr w:rsidR="00336603" w14:paraId="13B97B17" w14:textId="77777777" w:rsidTr="00336603">
        <w:tc>
          <w:tcPr>
            <w:tcW w:w="4675" w:type="dxa"/>
          </w:tcPr>
          <w:p w14:paraId="4902B4E4" w14:textId="60FCE143" w:rsidR="00336603" w:rsidRPr="00336603" w:rsidRDefault="00336603" w:rsidP="00336603">
            <w:pPr>
              <w:jc w:val="center"/>
              <w:rPr>
                <w:rFonts w:ascii="Times New Roman" w:hAnsi="Times New Roman" w:cs="Times New Roman"/>
                <w:b/>
                <w:bCs/>
              </w:rPr>
            </w:pPr>
            <w:r>
              <w:rPr>
                <w:rFonts w:ascii="Times New Roman" w:hAnsi="Times New Roman" w:cs="Times New Roman"/>
                <w:b/>
                <w:bCs/>
              </w:rPr>
              <w:t>2</w:t>
            </w:r>
          </w:p>
        </w:tc>
        <w:tc>
          <w:tcPr>
            <w:tcW w:w="4675" w:type="dxa"/>
          </w:tcPr>
          <w:p w14:paraId="07E267EC" w14:textId="6D208448" w:rsidR="00336603" w:rsidRPr="00336603" w:rsidRDefault="00336603" w:rsidP="00336603">
            <w:pPr>
              <w:jc w:val="center"/>
              <w:rPr>
                <w:rFonts w:ascii="Times New Roman" w:hAnsi="Times New Roman" w:cs="Times New Roman"/>
                <w:b/>
                <w:bCs/>
              </w:rPr>
            </w:pPr>
            <w:r>
              <w:rPr>
                <w:rFonts w:ascii="Times New Roman" w:hAnsi="Times New Roman" w:cs="Times New Roman"/>
                <w:b/>
                <w:bCs/>
              </w:rPr>
              <w:t>$21,150</w:t>
            </w:r>
          </w:p>
        </w:tc>
      </w:tr>
      <w:tr w:rsidR="00336603" w14:paraId="58E0259D" w14:textId="77777777" w:rsidTr="00336603">
        <w:tc>
          <w:tcPr>
            <w:tcW w:w="4675" w:type="dxa"/>
          </w:tcPr>
          <w:p w14:paraId="4DB3D73A" w14:textId="605A9E7B" w:rsidR="00336603" w:rsidRPr="00336603" w:rsidRDefault="00336603" w:rsidP="00336603">
            <w:pPr>
              <w:jc w:val="center"/>
              <w:rPr>
                <w:rFonts w:ascii="Times New Roman" w:hAnsi="Times New Roman" w:cs="Times New Roman"/>
                <w:b/>
                <w:bCs/>
              </w:rPr>
            </w:pPr>
            <w:r>
              <w:rPr>
                <w:rFonts w:ascii="Times New Roman" w:hAnsi="Times New Roman" w:cs="Times New Roman"/>
                <w:b/>
                <w:bCs/>
              </w:rPr>
              <w:t>3</w:t>
            </w:r>
          </w:p>
        </w:tc>
        <w:tc>
          <w:tcPr>
            <w:tcW w:w="4675" w:type="dxa"/>
          </w:tcPr>
          <w:p w14:paraId="0754BCEB" w14:textId="7AF417F8" w:rsidR="00336603" w:rsidRPr="00336603" w:rsidRDefault="00336603" w:rsidP="00336603">
            <w:pPr>
              <w:jc w:val="center"/>
              <w:rPr>
                <w:rFonts w:ascii="Times New Roman" w:hAnsi="Times New Roman" w:cs="Times New Roman"/>
                <w:b/>
                <w:bCs/>
              </w:rPr>
            </w:pPr>
            <w:r>
              <w:rPr>
                <w:rFonts w:ascii="Times New Roman" w:hAnsi="Times New Roman" w:cs="Times New Roman"/>
                <w:b/>
                <w:bCs/>
              </w:rPr>
              <w:t>$26,650</w:t>
            </w:r>
          </w:p>
        </w:tc>
      </w:tr>
      <w:tr w:rsidR="00336603" w14:paraId="27B2C734" w14:textId="77777777" w:rsidTr="00336603">
        <w:tc>
          <w:tcPr>
            <w:tcW w:w="4675" w:type="dxa"/>
          </w:tcPr>
          <w:p w14:paraId="2A0FD240" w14:textId="0F7EB80B" w:rsidR="00336603" w:rsidRPr="00336603" w:rsidRDefault="00336603" w:rsidP="00336603">
            <w:pPr>
              <w:jc w:val="center"/>
              <w:rPr>
                <w:rFonts w:ascii="Times New Roman" w:hAnsi="Times New Roman" w:cs="Times New Roman"/>
                <w:b/>
                <w:bCs/>
              </w:rPr>
            </w:pPr>
            <w:r>
              <w:rPr>
                <w:rFonts w:ascii="Times New Roman" w:hAnsi="Times New Roman" w:cs="Times New Roman"/>
                <w:b/>
                <w:bCs/>
              </w:rPr>
              <w:t>4</w:t>
            </w:r>
          </w:p>
        </w:tc>
        <w:tc>
          <w:tcPr>
            <w:tcW w:w="4675" w:type="dxa"/>
          </w:tcPr>
          <w:p w14:paraId="3C01AF67" w14:textId="5C3251CE" w:rsidR="00336603" w:rsidRPr="00336603" w:rsidRDefault="00336603" w:rsidP="00336603">
            <w:pPr>
              <w:jc w:val="center"/>
              <w:rPr>
                <w:rFonts w:ascii="Times New Roman" w:hAnsi="Times New Roman" w:cs="Times New Roman"/>
                <w:b/>
                <w:bCs/>
              </w:rPr>
            </w:pPr>
            <w:r>
              <w:rPr>
                <w:rFonts w:ascii="Times New Roman" w:hAnsi="Times New Roman" w:cs="Times New Roman"/>
                <w:b/>
                <w:bCs/>
              </w:rPr>
              <w:t>$32,150</w:t>
            </w:r>
          </w:p>
        </w:tc>
      </w:tr>
      <w:tr w:rsidR="00336603" w14:paraId="5C610FE9" w14:textId="77777777" w:rsidTr="00336603">
        <w:tc>
          <w:tcPr>
            <w:tcW w:w="4675" w:type="dxa"/>
          </w:tcPr>
          <w:p w14:paraId="1090E5FE" w14:textId="0B672BEE" w:rsidR="00336603" w:rsidRPr="00336603" w:rsidRDefault="00336603" w:rsidP="00336603">
            <w:pPr>
              <w:jc w:val="center"/>
              <w:rPr>
                <w:rFonts w:ascii="Times New Roman" w:hAnsi="Times New Roman" w:cs="Times New Roman"/>
                <w:b/>
                <w:bCs/>
              </w:rPr>
            </w:pPr>
            <w:r>
              <w:rPr>
                <w:rFonts w:ascii="Times New Roman" w:hAnsi="Times New Roman" w:cs="Times New Roman"/>
                <w:b/>
                <w:bCs/>
              </w:rPr>
              <w:t>5</w:t>
            </w:r>
          </w:p>
        </w:tc>
        <w:tc>
          <w:tcPr>
            <w:tcW w:w="4675" w:type="dxa"/>
          </w:tcPr>
          <w:p w14:paraId="21D3FB6C" w14:textId="0E86A43C" w:rsidR="00336603" w:rsidRPr="00336603" w:rsidRDefault="00336603" w:rsidP="00336603">
            <w:pPr>
              <w:jc w:val="center"/>
              <w:rPr>
                <w:rFonts w:ascii="Times New Roman" w:hAnsi="Times New Roman" w:cs="Times New Roman"/>
                <w:b/>
                <w:bCs/>
              </w:rPr>
            </w:pPr>
            <w:r>
              <w:rPr>
                <w:rFonts w:ascii="Times New Roman" w:hAnsi="Times New Roman" w:cs="Times New Roman"/>
                <w:b/>
                <w:bCs/>
              </w:rPr>
              <w:t>$37,650</w:t>
            </w:r>
          </w:p>
        </w:tc>
      </w:tr>
      <w:tr w:rsidR="00336603" w14:paraId="4BC33F4A" w14:textId="77777777" w:rsidTr="00336603">
        <w:tc>
          <w:tcPr>
            <w:tcW w:w="4675" w:type="dxa"/>
          </w:tcPr>
          <w:p w14:paraId="12AC47E5" w14:textId="100D0A34" w:rsidR="00336603" w:rsidRPr="00336603" w:rsidRDefault="00336603" w:rsidP="00336603">
            <w:pPr>
              <w:jc w:val="center"/>
              <w:rPr>
                <w:rFonts w:ascii="Times New Roman" w:hAnsi="Times New Roman" w:cs="Times New Roman"/>
                <w:b/>
                <w:bCs/>
              </w:rPr>
            </w:pPr>
            <w:r>
              <w:rPr>
                <w:rFonts w:ascii="Times New Roman" w:hAnsi="Times New Roman" w:cs="Times New Roman"/>
                <w:b/>
                <w:bCs/>
              </w:rPr>
              <w:t>6</w:t>
            </w:r>
          </w:p>
        </w:tc>
        <w:tc>
          <w:tcPr>
            <w:tcW w:w="4675" w:type="dxa"/>
          </w:tcPr>
          <w:p w14:paraId="764EE565" w14:textId="77B9F8E6" w:rsidR="00336603" w:rsidRPr="00336603" w:rsidRDefault="00336603" w:rsidP="00336603">
            <w:pPr>
              <w:jc w:val="center"/>
              <w:rPr>
                <w:rFonts w:ascii="Times New Roman" w:hAnsi="Times New Roman" w:cs="Times New Roman"/>
                <w:b/>
                <w:bCs/>
              </w:rPr>
            </w:pPr>
            <w:r>
              <w:rPr>
                <w:rFonts w:ascii="Times New Roman" w:hAnsi="Times New Roman" w:cs="Times New Roman"/>
                <w:b/>
                <w:bCs/>
              </w:rPr>
              <w:t>$43,150</w:t>
            </w:r>
          </w:p>
        </w:tc>
      </w:tr>
      <w:tr w:rsidR="00336603" w14:paraId="414D9F50" w14:textId="77777777" w:rsidTr="00336603">
        <w:tc>
          <w:tcPr>
            <w:tcW w:w="4675" w:type="dxa"/>
          </w:tcPr>
          <w:p w14:paraId="1C5FCD6E" w14:textId="5F4D1DF8" w:rsidR="00336603" w:rsidRPr="00336603" w:rsidRDefault="00336603" w:rsidP="00336603">
            <w:pPr>
              <w:jc w:val="center"/>
              <w:rPr>
                <w:rFonts w:ascii="Times New Roman" w:hAnsi="Times New Roman" w:cs="Times New Roman"/>
                <w:b/>
                <w:bCs/>
              </w:rPr>
            </w:pPr>
            <w:r>
              <w:rPr>
                <w:rFonts w:ascii="Times New Roman" w:hAnsi="Times New Roman" w:cs="Times New Roman"/>
                <w:b/>
                <w:bCs/>
              </w:rPr>
              <w:t>7</w:t>
            </w:r>
          </w:p>
        </w:tc>
        <w:tc>
          <w:tcPr>
            <w:tcW w:w="4675" w:type="dxa"/>
          </w:tcPr>
          <w:p w14:paraId="2258BCBF" w14:textId="5D18F6C2" w:rsidR="00336603" w:rsidRPr="00336603" w:rsidRDefault="00336603" w:rsidP="00336603">
            <w:pPr>
              <w:jc w:val="center"/>
              <w:rPr>
                <w:rFonts w:ascii="Times New Roman" w:hAnsi="Times New Roman" w:cs="Times New Roman"/>
                <w:b/>
                <w:bCs/>
              </w:rPr>
            </w:pPr>
            <w:r>
              <w:rPr>
                <w:rFonts w:ascii="Times New Roman" w:hAnsi="Times New Roman" w:cs="Times New Roman"/>
                <w:b/>
                <w:bCs/>
              </w:rPr>
              <w:t>$48,</w:t>
            </w:r>
            <w:r w:rsidR="004F0E9C">
              <w:rPr>
                <w:rFonts w:ascii="Times New Roman" w:hAnsi="Times New Roman" w:cs="Times New Roman"/>
                <w:b/>
                <w:bCs/>
              </w:rPr>
              <w:t>65</w:t>
            </w:r>
            <w:r>
              <w:rPr>
                <w:rFonts w:ascii="Times New Roman" w:hAnsi="Times New Roman" w:cs="Times New Roman"/>
                <w:b/>
                <w:bCs/>
              </w:rPr>
              <w:t>0</w:t>
            </w:r>
          </w:p>
        </w:tc>
      </w:tr>
      <w:tr w:rsidR="00336603" w14:paraId="20BEDF23" w14:textId="77777777" w:rsidTr="00336603">
        <w:tc>
          <w:tcPr>
            <w:tcW w:w="4675" w:type="dxa"/>
          </w:tcPr>
          <w:p w14:paraId="59E5952E" w14:textId="2C838BF6" w:rsidR="00336603" w:rsidRPr="00336603" w:rsidRDefault="00336603" w:rsidP="00336603">
            <w:pPr>
              <w:jc w:val="center"/>
              <w:rPr>
                <w:rFonts w:ascii="Times New Roman" w:hAnsi="Times New Roman" w:cs="Times New Roman"/>
                <w:b/>
                <w:bCs/>
              </w:rPr>
            </w:pPr>
            <w:r>
              <w:rPr>
                <w:rFonts w:ascii="Times New Roman" w:hAnsi="Times New Roman" w:cs="Times New Roman"/>
                <w:b/>
                <w:bCs/>
              </w:rPr>
              <w:t>8</w:t>
            </w:r>
          </w:p>
        </w:tc>
        <w:tc>
          <w:tcPr>
            <w:tcW w:w="4675" w:type="dxa"/>
          </w:tcPr>
          <w:p w14:paraId="5798ECBC" w14:textId="0F6A149E" w:rsidR="00336603" w:rsidRPr="00336603" w:rsidRDefault="00336603" w:rsidP="00336603">
            <w:pPr>
              <w:jc w:val="center"/>
              <w:rPr>
                <w:rFonts w:ascii="Times New Roman" w:hAnsi="Times New Roman" w:cs="Times New Roman"/>
                <w:b/>
                <w:bCs/>
              </w:rPr>
            </w:pPr>
            <w:r>
              <w:rPr>
                <w:rFonts w:ascii="Times New Roman" w:hAnsi="Times New Roman" w:cs="Times New Roman"/>
                <w:b/>
                <w:bCs/>
              </w:rPr>
              <w:t>$54,150</w:t>
            </w:r>
          </w:p>
        </w:tc>
      </w:tr>
      <w:tr w:rsidR="00336603" w14:paraId="24C89CC2" w14:textId="77777777" w:rsidTr="00336603">
        <w:tc>
          <w:tcPr>
            <w:tcW w:w="4675" w:type="dxa"/>
          </w:tcPr>
          <w:p w14:paraId="5582F856" w14:textId="6A1854DD" w:rsidR="00336603" w:rsidRPr="00336603" w:rsidRDefault="00336603" w:rsidP="00336603">
            <w:pPr>
              <w:jc w:val="center"/>
              <w:rPr>
                <w:rFonts w:ascii="Times New Roman" w:hAnsi="Times New Roman" w:cs="Times New Roman"/>
                <w:b/>
                <w:bCs/>
              </w:rPr>
            </w:pPr>
            <w:r>
              <w:rPr>
                <w:rFonts w:ascii="Times New Roman" w:hAnsi="Times New Roman" w:cs="Times New Roman"/>
                <w:b/>
                <w:bCs/>
              </w:rPr>
              <w:t>For each additional person</w:t>
            </w:r>
          </w:p>
        </w:tc>
        <w:tc>
          <w:tcPr>
            <w:tcW w:w="4675" w:type="dxa"/>
          </w:tcPr>
          <w:p w14:paraId="1C7DE50B" w14:textId="180F38E8" w:rsidR="00336603" w:rsidRPr="00336603" w:rsidRDefault="00336603" w:rsidP="00336603">
            <w:pPr>
              <w:jc w:val="center"/>
              <w:rPr>
                <w:rFonts w:ascii="Times New Roman" w:hAnsi="Times New Roman" w:cs="Times New Roman"/>
                <w:b/>
                <w:bCs/>
              </w:rPr>
            </w:pPr>
            <w:r>
              <w:rPr>
                <w:rFonts w:ascii="Times New Roman" w:hAnsi="Times New Roman" w:cs="Times New Roman"/>
                <w:b/>
                <w:bCs/>
              </w:rPr>
              <w:t>$5,500</w:t>
            </w:r>
          </w:p>
        </w:tc>
      </w:tr>
    </w:tbl>
    <w:p w14:paraId="5E96DF71" w14:textId="77777777" w:rsidR="00336603" w:rsidRDefault="00336603" w:rsidP="00BF6DA4">
      <w:pPr>
        <w:rPr>
          <w:rFonts w:ascii="Times New Roman" w:hAnsi="Times New Roman" w:cs="Times New Roman"/>
        </w:rPr>
      </w:pPr>
    </w:p>
    <w:p w14:paraId="6E82A0FA" w14:textId="21BF5B1A" w:rsidR="00336603" w:rsidRDefault="00336603" w:rsidP="00BF6DA4">
      <w:pPr>
        <w:rPr>
          <w:rFonts w:ascii="Times New Roman" w:hAnsi="Times New Roman" w:cs="Times New Roman"/>
        </w:rPr>
      </w:pPr>
      <w:r>
        <w:rPr>
          <w:rFonts w:ascii="Times New Roman" w:hAnsi="Times New Roman" w:cs="Times New Roman"/>
          <w:b/>
          <w:bCs/>
          <w:u w:val="single"/>
        </w:rPr>
        <w:t>Household income greater than what is stated above, per household size, will result in a denial of the poverty exemption, even if the applicant meets the Asset Guideline</w:t>
      </w:r>
      <w:r w:rsidR="004F0E9C">
        <w:rPr>
          <w:rFonts w:ascii="Times New Roman" w:hAnsi="Times New Roman" w:cs="Times New Roman"/>
          <w:b/>
          <w:bCs/>
          <w:u w:val="single"/>
        </w:rPr>
        <w:t>s</w:t>
      </w:r>
      <w:r>
        <w:rPr>
          <w:rFonts w:ascii="Times New Roman" w:hAnsi="Times New Roman" w:cs="Times New Roman"/>
          <w:b/>
          <w:bCs/>
          <w:u w:val="single"/>
        </w:rPr>
        <w:t>.</w:t>
      </w:r>
      <w:r>
        <w:rPr>
          <w:rFonts w:ascii="Times New Roman" w:hAnsi="Times New Roman" w:cs="Times New Roman"/>
        </w:rPr>
        <w:t xml:space="preserve"> The Board of Review may deny any application if income is not property identified.</w:t>
      </w:r>
    </w:p>
    <w:p w14:paraId="079D5486" w14:textId="6478D9D0" w:rsidR="00336603" w:rsidRDefault="00336603" w:rsidP="00BF6DA4">
      <w:pPr>
        <w:rPr>
          <w:rFonts w:ascii="Times New Roman" w:hAnsi="Times New Roman" w:cs="Times New Roman"/>
        </w:rPr>
      </w:pPr>
      <w:r>
        <w:rPr>
          <w:rFonts w:ascii="Times New Roman" w:hAnsi="Times New Roman" w:cs="Times New Roman"/>
        </w:rPr>
        <w:t xml:space="preserve">The income guidelines shall include, but are not limited to, the annual income for the person claiming the exemption </w:t>
      </w:r>
      <w:r>
        <w:rPr>
          <w:rFonts w:ascii="Times New Roman" w:hAnsi="Times New Roman" w:cs="Times New Roman"/>
          <w:u w:val="single"/>
        </w:rPr>
        <w:t>and all persons living in the principal residence.</w:t>
      </w:r>
    </w:p>
    <w:p w14:paraId="05E0E83B" w14:textId="2A24D17B" w:rsidR="00336603" w:rsidRDefault="00336603" w:rsidP="00336603">
      <w:pPr>
        <w:jc w:val="center"/>
        <w:rPr>
          <w:rFonts w:ascii="Times New Roman" w:hAnsi="Times New Roman" w:cs="Times New Roman"/>
          <w:sz w:val="28"/>
          <w:szCs w:val="28"/>
        </w:rPr>
      </w:pPr>
      <w:r>
        <w:rPr>
          <w:rFonts w:ascii="Times New Roman" w:hAnsi="Times New Roman" w:cs="Times New Roman"/>
          <w:b/>
          <w:bCs/>
          <w:sz w:val="28"/>
          <w:szCs w:val="28"/>
        </w:rPr>
        <w:t>Reduction Calculation</w:t>
      </w:r>
    </w:p>
    <w:p w14:paraId="4A9A72EF" w14:textId="416C7BDF" w:rsidR="00336603" w:rsidRDefault="00336603" w:rsidP="00336603">
      <w:pPr>
        <w:rPr>
          <w:rFonts w:ascii="Times New Roman" w:hAnsi="Times New Roman" w:cs="Times New Roman"/>
        </w:rPr>
      </w:pPr>
      <w:r>
        <w:rPr>
          <w:rFonts w:ascii="Times New Roman" w:hAnsi="Times New Roman" w:cs="Times New Roman"/>
        </w:rPr>
        <w:t>Public Act 253 of 2020 and Public Act 191 or 2023 amended MCL 211.7u related to poverty exemptions. These acts list the specific percentage reductions in taxable value that may be used by the Board of Review in granting poverty exemptions.</w:t>
      </w:r>
    </w:p>
    <w:p w14:paraId="10D0DDBC" w14:textId="37831D90" w:rsidR="00336603" w:rsidRDefault="00336603" w:rsidP="00336603">
      <w:pPr>
        <w:rPr>
          <w:rFonts w:ascii="Times New Roman" w:hAnsi="Times New Roman" w:cs="Times New Roman"/>
        </w:rPr>
      </w:pPr>
      <w:r>
        <w:rPr>
          <w:rFonts w:ascii="Times New Roman" w:hAnsi="Times New Roman" w:cs="Times New Roman"/>
        </w:rPr>
        <w:t>MCL 211.7u(5) states that if a person claiming the poverty exemption meets all eligibility requirements, the Board of Review shall grant the poverty exemption, in whole or in part, as follows:</w:t>
      </w:r>
    </w:p>
    <w:p w14:paraId="513F62A4" w14:textId="77777777" w:rsidR="00336603" w:rsidRPr="00336603" w:rsidRDefault="00336603" w:rsidP="00336603">
      <w:pPr>
        <w:pStyle w:val="ListParagraph"/>
        <w:numPr>
          <w:ilvl w:val="0"/>
          <w:numId w:val="1"/>
        </w:numPr>
        <w:rPr>
          <w:rFonts w:ascii="Times New Roman" w:hAnsi="Times New Roman" w:cs="Times New Roman"/>
        </w:rPr>
      </w:pPr>
      <w:r w:rsidRPr="00336603">
        <w:rPr>
          <w:rFonts w:ascii="Times New Roman" w:hAnsi="Times New Roman" w:cs="Times New Roman"/>
        </w:rPr>
        <w:t>A full exemption equal to a 100% reduction in taxable value for the year in which the exemption is granted; or</w:t>
      </w:r>
    </w:p>
    <w:p w14:paraId="07B7FC08" w14:textId="77777777" w:rsidR="00336603" w:rsidRPr="00336603" w:rsidRDefault="00336603" w:rsidP="00336603">
      <w:pPr>
        <w:pStyle w:val="ListParagraph"/>
        <w:numPr>
          <w:ilvl w:val="0"/>
          <w:numId w:val="1"/>
        </w:numPr>
        <w:rPr>
          <w:rFonts w:ascii="Times New Roman" w:hAnsi="Times New Roman" w:cs="Times New Roman"/>
        </w:rPr>
      </w:pPr>
      <w:r w:rsidRPr="00336603">
        <w:rPr>
          <w:rFonts w:ascii="Times New Roman" w:hAnsi="Times New Roman" w:cs="Times New Roman"/>
        </w:rPr>
        <w:lastRenderedPageBreak/>
        <w:t>A partial exemption equal to a 75% reduction in taxable value for the year in which the exemption is granted; or</w:t>
      </w:r>
    </w:p>
    <w:p w14:paraId="384C7934" w14:textId="77777777" w:rsidR="00336603" w:rsidRPr="00336603" w:rsidRDefault="00336603" w:rsidP="00336603">
      <w:pPr>
        <w:pStyle w:val="ListParagraph"/>
        <w:numPr>
          <w:ilvl w:val="0"/>
          <w:numId w:val="1"/>
        </w:numPr>
        <w:rPr>
          <w:rFonts w:ascii="Times New Roman" w:hAnsi="Times New Roman" w:cs="Times New Roman"/>
        </w:rPr>
      </w:pPr>
      <w:r w:rsidRPr="00336603">
        <w:rPr>
          <w:rFonts w:ascii="Times New Roman" w:hAnsi="Times New Roman" w:cs="Times New Roman"/>
        </w:rPr>
        <w:t>A partial exemption equal to a 50% reduction in taxable value for the year in which the exemption is granted; or</w:t>
      </w:r>
    </w:p>
    <w:p w14:paraId="68D27F81" w14:textId="77777777" w:rsidR="00336603" w:rsidRPr="00336603" w:rsidRDefault="00336603" w:rsidP="00336603">
      <w:pPr>
        <w:pStyle w:val="ListParagraph"/>
        <w:numPr>
          <w:ilvl w:val="0"/>
          <w:numId w:val="1"/>
        </w:numPr>
        <w:rPr>
          <w:rFonts w:ascii="Times New Roman" w:hAnsi="Times New Roman" w:cs="Times New Roman"/>
        </w:rPr>
      </w:pPr>
      <w:r w:rsidRPr="00336603">
        <w:rPr>
          <w:rFonts w:ascii="Times New Roman" w:hAnsi="Times New Roman" w:cs="Times New Roman"/>
        </w:rPr>
        <w:t>A partial exemption equal to a 25% reduction in taxable value for the year in which the exemption is granted.</w:t>
      </w:r>
    </w:p>
    <w:p w14:paraId="1ED8227A" w14:textId="74358F68" w:rsidR="00336603" w:rsidRDefault="00336603" w:rsidP="00336603">
      <w:pPr>
        <w:rPr>
          <w:rFonts w:ascii="Times New Roman" w:hAnsi="Times New Roman" w:cs="Times New Roman"/>
        </w:rPr>
      </w:pPr>
      <w:r w:rsidRPr="00336603">
        <w:rPr>
          <w:rFonts w:ascii="Times New Roman" w:hAnsi="Times New Roman" w:cs="Times New Roman"/>
        </w:rPr>
        <w:t>No other method of calculating taxable value may be utilized, except for those percentage reductions specifically authorized by statute</w:t>
      </w:r>
      <w:r>
        <w:rPr>
          <w:rFonts w:ascii="Times New Roman" w:hAnsi="Times New Roman" w:cs="Times New Roman"/>
        </w:rPr>
        <w:t>.</w:t>
      </w:r>
    </w:p>
    <w:p w14:paraId="2836ECA1" w14:textId="4AECE6A0" w:rsidR="00336603" w:rsidRDefault="00336603" w:rsidP="00336603">
      <w:pPr>
        <w:rPr>
          <w:rFonts w:ascii="Times New Roman" w:hAnsi="Times New Roman" w:cs="Times New Roman"/>
        </w:rPr>
      </w:pPr>
      <w:r>
        <w:rPr>
          <w:rFonts w:ascii="Times New Roman" w:hAnsi="Times New Roman" w:cs="Times New Roman"/>
        </w:rPr>
        <w:t>The following depicts the taxable value reduction granted to the eligible applicant for 2026 poverty exemptions:</w:t>
      </w:r>
    </w:p>
    <w:tbl>
      <w:tblPr>
        <w:tblStyle w:val="TableGrid"/>
        <w:tblW w:w="0" w:type="auto"/>
        <w:tblLook w:val="04A0" w:firstRow="1" w:lastRow="0" w:firstColumn="1" w:lastColumn="0" w:noHBand="0" w:noVBand="1"/>
      </w:tblPr>
      <w:tblGrid>
        <w:gridCol w:w="1170"/>
        <w:gridCol w:w="1075"/>
        <w:gridCol w:w="1530"/>
        <w:gridCol w:w="1980"/>
        <w:gridCol w:w="1800"/>
        <w:gridCol w:w="1795"/>
      </w:tblGrid>
      <w:tr w:rsidR="00336603" w14:paraId="7ACB8530" w14:textId="77777777" w:rsidTr="004F0E9C">
        <w:tc>
          <w:tcPr>
            <w:tcW w:w="1170" w:type="dxa"/>
          </w:tcPr>
          <w:p w14:paraId="25070C5D" w14:textId="0E79E602"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Household Size</w:t>
            </w:r>
          </w:p>
        </w:tc>
        <w:tc>
          <w:tcPr>
            <w:tcW w:w="1075" w:type="dxa"/>
          </w:tcPr>
          <w:p w14:paraId="1A720CC0" w14:textId="5679356B"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Income (federal limit)</w:t>
            </w:r>
          </w:p>
        </w:tc>
        <w:tc>
          <w:tcPr>
            <w:tcW w:w="1530" w:type="dxa"/>
          </w:tcPr>
          <w:p w14:paraId="245FE7BC" w14:textId="7E6E4175"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100% Taxable value exemption</w:t>
            </w:r>
          </w:p>
        </w:tc>
        <w:tc>
          <w:tcPr>
            <w:tcW w:w="1980" w:type="dxa"/>
          </w:tcPr>
          <w:p w14:paraId="0E49E3CD" w14:textId="4507507B"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75% Taxable Value exemption</w:t>
            </w:r>
          </w:p>
        </w:tc>
        <w:tc>
          <w:tcPr>
            <w:tcW w:w="1800" w:type="dxa"/>
          </w:tcPr>
          <w:p w14:paraId="43B4F468" w14:textId="181559AB"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50% Taxable Value exemption</w:t>
            </w:r>
          </w:p>
        </w:tc>
        <w:tc>
          <w:tcPr>
            <w:tcW w:w="1795" w:type="dxa"/>
          </w:tcPr>
          <w:p w14:paraId="101117D2" w14:textId="23EC7C56"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25% Taxable Value exemption</w:t>
            </w:r>
          </w:p>
        </w:tc>
      </w:tr>
      <w:tr w:rsidR="00336603" w14:paraId="27F6A260" w14:textId="77777777" w:rsidTr="004F0E9C">
        <w:tc>
          <w:tcPr>
            <w:tcW w:w="1170" w:type="dxa"/>
          </w:tcPr>
          <w:p w14:paraId="6CC18197" w14:textId="426AA92A"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1</w:t>
            </w:r>
          </w:p>
        </w:tc>
        <w:tc>
          <w:tcPr>
            <w:tcW w:w="1075" w:type="dxa"/>
          </w:tcPr>
          <w:p w14:paraId="56956122" w14:textId="0E8C6BF7"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$15,650</w:t>
            </w:r>
          </w:p>
        </w:tc>
        <w:tc>
          <w:tcPr>
            <w:tcW w:w="1530" w:type="dxa"/>
          </w:tcPr>
          <w:p w14:paraId="3BBC491E" w14:textId="00861019"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$0-$3,913</w:t>
            </w:r>
          </w:p>
        </w:tc>
        <w:tc>
          <w:tcPr>
            <w:tcW w:w="1980" w:type="dxa"/>
          </w:tcPr>
          <w:p w14:paraId="414DCFBA" w14:textId="25E8FC20"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$3,914-$7,825</w:t>
            </w:r>
          </w:p>
        </w:tc>
        <w:tc>
          <w:tcPr>
            <w:tcW w:w="1800" w:type="dxa"/>
          </w:tcPr>
          <w:p w14:paraId="6126E584" w14:textId="18709316"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$7,826-$11,738</w:t>
            </w:r>
          </w:p>
        </w:tc>
        <w:tc>
          <w:tcPr>
            <w:tcW w:w="1795" w:type="dxa"/>
          </w:tcPr>
          <w:p w14:paraId="2C3FD5B7" w14:textId="04AF9DD6"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$11,739-$15,650</w:t>
            </w:r>
          </w:p>
        </w:tc>
      </w:tr>
      <w:tr w:rsidR="00336603" w14:paraId="2FC3A035" w14:textId="77777777" w:rsidTr="004F0E9C">
        <w:tc>
          <w:tcPr>
            <w:tcW w:w="1170" w:type="dxa"/>
          </w:tcPr>
          <w:p w14:paraId="3BC00EFF" w14:textId="10E87EE6"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2</w:t>
            </w:r>
          </w:p>
        </w:tc>
        <w:tc>
          <w:tcPr>
            <w:tcW w:w="1075" w:type="dxa"/>
          </w:tcPr>
          <w:p w14:paraId="520C2979" w14:textId="37B86ADD"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$21,150</w:t>
            </w:r>
          </w:p>
        </w:tc>
        <w:tc>
          <w:tcPr>
            <w:tcW w:w="1530" w:type="dxa"/>
          </w:tcPr>
          <w:p w14:paraId="379FE2D2" w14:textId="4BFA33CC"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$0-$5,288</w:t>
            </w:r>
          </w:p>
        </w:tc>
        <w:tc>
          <w:tcPr>
            <w:tcW w:w="1980" w:type="dxa"/>
          </w:tcPr>
          <w:p w14:paraId="0BCD604B" w14:textId="0CC88D2D"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$5,289-$10,575</w:t>
            </w:r>
          </w:p>
        </w:tc>
        <w:tc>
          <w:tcPr>
            <w:tcW w:w="1800" w:type="dxa"/>
          </w:tcPr>
          <w:p w14:paraId="60F3D418" w14:textId="0C64FEFA"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$10,576-$15,863</w:t>
            </w:r>
          </w:p>
        </w:tc>
        <w:tc>
          <w:tcPr>
            <w:tcW w:w="1795" w:type="dxa"/>
          </w:tcPr>
          <w:p w14:paraId="051C7510" w14:textId="2D3CE794" w:rsidR="00336603" w:rsidRPr="004F0E9C" w:rsidRDefault="004F0E9C" w:rsidP="00D15B50">
            <w:pPr>
              <w:jc w:val="center"/>
              <w:rPr>
                <w:rFonts w:ascii="Times New Roman" w:hAnsi="Times New Roman" w:cs="Times New Roman"/>
                <w:sz w:val="22"/>
                <w:szCs w:val="22"/>
              </w:rPr>
            </w:pPr>
            <w:r w:rsidRPr="004F0E9C">
              <w:rPr>
                <w:rFonts w:ascii="Times New Roman" w:hAnsi="Times New Roman" w:cs="Times New Roman"/>
                <w:sz w:val="22"/>
                <w:szCs w:val="22"/>
              </w:rPr>
              <w:t>$15,864-$21,150</w:t>
            </w:r>
          </w:p>
        </w:tc>
      </w:tr>
      <w:tr w:rsidR="00336603" w14:paraId="4A6F0867" w14:textId="77777777" w:rsidTr="004F0E9C">
        <w:tc>
          <w:tcPr>
            <w:tcW w:w="1170" w:type="dxa"/>
          </w:tcPr>
          <w:p w14:paraId="7EE5F056" w14:textId="4258F60D"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3</w:t>
            </w:r>
          </w:p>
        </w:tc>
        <w:tc>
          <w:tcPr>
            <w:tcW w:w="1075" w:type="dxa"/>
          </w:tcPr>
          <w:p w14:paraId="56420056" w14:textId="67E4978E"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$26,650</w:t>
            </w:r>
          </w:p>
        </w:tc>
        <w:tc>
          <w:tcPr>
            <w:tcW w:w="1530" w:type="dxa"/>
          </w:tcPr>
          <w:p w14:paraId="3D13CF11" w14:textId="602AE053"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$0-$6,663</w:t>
            </w:r>
          </w:p>
        </w:tc>
        <w:tc>
          <w:tcPr>
            <w:tcW w:w="1980" w:type="dxa"/>
          </w:tcPr>
          <w:p w14:paraId="3BFB8143" w14:textId="2ADB3CBB"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$6,664-$13,325</w:t>
            </w:r>
          </w:p>
        </w:tc>
        <w:tc>
          <w:tcPr>
            <w:tcW w:w="1800" w:type="dxa"/>
          </w:tcPr>
          <w:p w14:paraId="3A9AC91F" w14:textId="700831EB"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$13,326-$19,988</w:t>
            </w:r>
          </w:p>
        </w:tc>
        <w:tc>
          <w:tcPr>
            <w:tcW w:w="1795" w:type="dxa"/>
          </w:tcPr>
          <w:p w14:paraId="5F2285AC" w14:textId="3F3F8C15" w:rsidR="00336603" w:rsidRPr="004F0E9C" w:rsidRDefault="004F0E9C" w:rsidP="00D15B50">
            <w:pPr>
              <w:jc w:val="center"/>
              <w:rPr>
                <w:rFonts w:ascii="Times New Roman" w:hAnsi="Times New Roman" w:cs="Times New Roman"/>
                <w:sz w:val="22"/>
                <w:szCs w:val="22"/>
              </w:rPr>
            </w:pPr>
            <w:r w:rsidRPr="004F0E9C">
              <w:rPr>
                <w:rFonts w:ascii="Times New Roman" w:hAnsi="Times New Roman" w:cs="Times New Roman"/>
                <w:sz w:val="22"/>
                <w:szCs w:val="22"/>
              </w:rPr>
              <w:t>$19,989-$26,650</w:t>
            </w:r>
          </w:p>
        </w:tc>
      </w:tr>
      <w:tr w:rsidR="00336603" w14:paraId="74DEA29A" w14:textId="77777777" w:rsidTr="004F0E9C">
        <w:tc>
          <w:tcPr>
            <w:tcW w:w="1170" w:type="dxa"/>
          </w:tcPr>
          <w:p w14:paraId="20A226FE" w14:textId="69E428E9"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4</w:t>
            </w:r>
          </w:p>
        </w:tc>
        <w:tc>
          <w:tcPr>
            <w:tcW w:w="1075" w:type="dxa"/>
          </w:tcPr>
          <w:p w14:paraId="07BEB45F" w14:textId="17C710F7"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$32,150</w:t>
            </w:r>
          </w:p>
        </w:tc>
        <w:tc>
          <w:tcPr>
            <w:tcW w:w="1530" w:type="dxa"/>
          </w:tcPr>
          <w:p w14:paraId="3A1A48AD" w14:textId="2F60F15B"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$0-$8,038</w:t>
            </w:r>
          </w:p>
        </w:tc>
        <w:tc>
          <w:tcPr>
            <w:tcW w:w="1980" w:type="dxa"/>
          </w:tcPr>
          <w:p w14:paraId="1D62D61D" w14:textId="028418C3"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$8,039-$16,075</w:t>
            </w:r>
          </w:p>
        </w:tc>
        <w:tc>
          <w:tcPr>
            <w:tcW w:w="1800" w:type="dxa"/>
          </w:tcPr>
          <w:p w14:paraId="73BCD207" w14:textId="36FA9290"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$16,076-$24,113</w:t>
            </w:r>
          </w:p>
        </w:tc>
        <w:tc>
          <w:tcPr>
            <w:tcW w:w="1795" w:type="dxa"/>
          </w:tcPr>
          <w:p w14:paraId="2DD238ED" w14:textId="39B3538A" w:rsidR="00336603" w:rsidRPr="004F0E9C" w:rsidRDefault="004F0E9C" w:rsidP="00D15B50">
            <w:pPr>
              <w:jc w:val="center"/>
              <w:rPr>
                <w:rFonts w:ascii="Times New Roman" w:hAnsi="Times New Roman" w:cs="Times New Roman"/>
                <w:sz w:val="22"/>
                <w:szCs w:val="22"/>
              </w:rPr>
            </w:pPr>
            <w:r w:rsidRPr="004F0E9C">
              <w:rPr>
                <w:rFonts w:ascii="Times New Roman" w:hAnsi="Times New Roman" w:cs="Times New Roman"/>
                <w:sz w:val="22"/>
                <w:szCs w:val="22"/>
              </w:rPr>
              <w:t>$24,114-$32,150</w:t>
            </w:r>
          </w:p>
        </w:tc>
      </w:tr>
      <w:tr w:rsidR="00336603" w14:paraId="5AD44DD2" w14:textId="77777777" w:rsidTr="004F0E9C">
        <w:tc>
          <w:tcPr>
            <w:tcW w:w="1170" w:type="dxa"/>
          </w:tcPr>
          <w:p w14:paraId="1C10EB3A" w14:textId="71026AD4"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5</w:t>
            </w:r>
          </w:p>
        </w:tc>
        <w:tc>
          <w:tcPr>
            <w:tcW w:w="1075" w:type="dxa"/>
          </w:tcPr>
          <w:p w14:paraId="501CDE85" w14:textId="7448294A"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$37,650</w:t>
            </w:r>
          </w:p>
        </w:tc>
        <w:tc>
          <w:tcPr>
            <w:tcW w:w="1530" w:type="dxa"/>
          </w:tcPr>
          <w:p w14:paraId="7E9174F8" w14:textId="2B04C00F"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$0-$9,413</w:t>
            </w:r>
          </w:p>
        </w:tc>
        <w:tc>
          <w:tcPr>
            <w:tcW w:w="1980" w:type="dxa"/>
          </w:tcPr>
          <w:p w14:paraId="2D415A70" w14:textId="75F64202"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$9,414-$18,825</w:t>
            </w:r>
          </w:p>
        </w:tc>
        <w:tc>
          <w:tcPr>
            <w:tcW w:w="1800" w:type="dxa"/>
          </w:tcPr>
          <w:p w14:paraId="3F373668" w14:textId="3DCAA864"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$18,826-$28,238</w:t>
            </w:r>
          </w:p>
        </w:tc>
        <w:tc>
          <w:tcPr>
            <w:tcW w:w="1795" w:type="dxa"/>
          </w:tcPr>
          <w:p w14:paraId="442F04B4" w14:textId="51439AD4" w:rsidR="00336603" w:rsidRPr="004F0E9C" w:rsidRDefault="004F0E9C" w:rsidP="00D15B50">
            <w:pPr>
              <w:jc w:val="center"/>
              <w:rPr>
                <w:rFonts w:ascii="Times New Roman" w:hAnsi="Times New Roman" w:cs="Times New Roman"/>
                <w:sz w:val="22"/>
                <w:szCs w:val="22"/>
              </w:rPr>
            </w:pPr>
            <w:r w:rsidRPr="004F0E9C">
              <w:rPr>
                <w:rFonts w:ascii="Times New Roman" w:hAnsi="Times New Roman" w:cs="Times New Roman"/>
                <w:sz w:val="22"/>
                <w:szCs w:val="22"/>
              </w:rPr>
              <w:t>$28,239-</w:t>
            </w:r>
            <w:r w:rsidR="00CC28ED">
              <w:rPr>
                <w:rFonts w:ascii="Times New Roman" w:hAnsi="Times New Roman" w:cs="Times New Roman"/>
                <w:sz w:val="22"/>
                <w:szCs w:val="22"/>
              </w:rPr>
              <w:t>$</w:t>
            </w:r>
            <w:r w:rsidRPr="004F0E9C">
              <w:rPr>
                <w:rFonts w:ascii="Times New Roman" w:hAnsi="Times New Roman" w:cs="Times New Roman"/>
                <w:sz w:val="22"/>
                <w:szCs w:val="22"/>
              </w:rPr>
              <w:t>37,650</w:t>
            </w:r>
          </w:p>
        </w:tc>
      </w:tr>
      <w:tr w:rsidR="00336603" w14:paraId="2D38AB7B" w14:textId="77777777" w:rsidTr="004F0E9C">
        <w:tc>
          <w:tcPr>
            <w:tcW w:w="1170" w:type="dxa"/>
          </w:tcPr>
          <w:p w14:paraId="1DBA68BA" w14:textId="04C92E58"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6</w:t>
            </w:r>
          </w:p>
        </w:tc>
        <w:tc>
          <w:tcPr>
            <w:tcW w:w="1075" w:type="dxa"/>
          </w:tcPr>
          <w:p w14:paraId="13506F94" w14:textId="691B38B6"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$43,150</w:t>
            </w:r>
          </w:p>
        </w:tc>
        <w:tc>
          <w:tcPr>
            <w:tcW w:w="1530" w:type="dxa"/>
          </w:tcPr>
          <w:p w14:paraId="0FD54999" w14:textId="35AB814F"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$0-$10,788</w:t>
            </w:r>
          </w:p>
        </w:tc>
        <w:tc>
          <w:tcPr>
            <w:tcW w:w="1980" w:type="dxa"/>
          </w:tcPr>
          <w:p w14:paraId="04753B57" w14:textId="56D51FAD"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$10,789-$21,575</w:t>
            </w:r>
          </w:p>
        </w:tc>
        <w:tc>
          <w:tcPr>
            <w:tcW w:w="1800" w:type="dxa"/>
          </w:tcPr>
          <w:p w14:paraId="20723A65" w14:textId="30AC5791"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$21,576-$32-363</w:t>
            </w:r>
          </w:p>
        </w:tc>
        <w:tc>
          <w:tcPr>
            <w:tcW w:w="1795" w:type="dxa"/>
          </w:tcPr>
          <w:p w14:paraId="5936FA99" w14:textId="0BD85F91" w:rsidR="00336603" w:rsidRPr="004F0E9C" w:rsidRDefault="004F0E9C" w:rsidP="00D15B50">
            <w:pPr>
              <w:jc w:val="center"/>
              <w:rPr>
                <w:rFonts w:ascii="Times New Roman" w:hAnsi="Times New Roman" w:cs="Times New Roman"/>
                <w:sz w:val="22"/>
                <w:szCs w:val="22"/>
              </w:rPr>
            </w:pPr>
            <w:r w:rsidRPr="004F0E9C">
              <w:rPr>
                <w:rFonts w:ascii="Times New Roman" w:hAnsi="Times New Roman" w:cs="Times New Roman"/>
                <w:sz w:val="22"/>
                <w:szCs w:val="22"/>
              </w:rPr>
              <w:t>$32,364-$43,150</w:t>
            </w:r>
          </w:p>
        </w:tc>
      </w:tr>
      <w:tr w:rsidR="00336603" w14:paraId="3FF09079" w14:textId="77777777" w:rsidTr="004F0E9C">
        <w:tc>
          <w:tcPr>
            <w:tcW w:w="1170" w:type="dxa"/>
          </w:tcPr>
          <w:p w14:paraId="721756BC" w14:textId="3503AC07"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7</w:t>
            </w:r>
          </w:p>
        </w:tc>
        <w:tc>
          <w:tcPr>
            <w:tcW w:w="1075" w:type="dxa"/>
          </w:tcPr>
          <w:p w14:paraId="04676E53" w14:textId="60D41FB5"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$48,650</w:t>
            </w:r>
          </w:p>
        </w:tc>
        <w:tc>
          <w:tcPr>
            <w:tcW w:w="1530" w:type="dxa"/>
          </w:tcPr>
          <w:p w14:paraId="0F001BBB" w14:textId="47C6A125"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$0-12,163</w:t>
            </w:r>
          </w:p>
        </w:tc>
        <w:tc>
          <w:tcPr>
            <w:tcW w:w="1980" w:type="dxa"/>
          </w:tcPr>
          <w:p w14:paraId="1234838B" w14:textId="70A75F56"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$12,164-$24,325</w:t>
            </w:r>
          </w:p>
        </w:tc>
        <w:tc>
          <w:tcPr>
            <w:tcW w:w="1800" w:type="dxa"/>
          </w:tcPr>
          <w:p w14:paraId="03A71E3A" w14:textId="43C7C47E"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$24,326-$36,488</w:t>
            </w:r>
          </w:p>
        </w:tc>
        <w:tc>
          <w:tcPr>
            <w:tcW w:w="1795" w:type="dxa"/>
          </w:tcPr>
          <w:p w14:paraId="3D3F496C" w14:textId="34FB92FE" w:rsidR="00336603" w:rsidRPr="004F0E9C" w:rsidRDefault="004F0E9C" w:rsidP="00D15B50">
            <w:pPr>
              <w:jc w:val="center"/>
              <w:rPr>
                <w:rFonts w:ascii="Times New Roman" w:hAnsi="Times New Roman" w:cs="Times New Roman"/>
                <w:sz w:val="22"/>
                <w:szCs w:val="22"/>
              </w:rPr>
            </w:pPr>
            <w:r w:rsidRPr="004F0E9C">
              <w:rPr>
                <w:rFonts w:ascii="Times New Roman" w:hAnsi="Times New Roman" w:cs="Times New Roman"/>
                <w:sz w:val="22"/>
                <w:szCs w:val="22"/>
              </w:rPr>
              <w:t>$36,489-$48,650</w:t>
            </w:r>
          </w:p>
        </w:tc>
      </w:tr>
      <w:tr w:rsidR="00336603" w14:paraId="393FB965" w14:textId="77777777" w:rsidTr="004F0E9C">
        <w:tc>
          <w:tcPr>
            <w:tcW w:w="1170" w:type="dxa"/>
          </w:tcPr>
          <w:p w14:paraId="0AE33C70" w14:textId="68EB5C03" w:rsidR="00336603" w:rsidRPr="004F0E9C" w:rsidRDefault="00336603" w:rsidP="00D15B50">
            <w:pPr>
              <w:jc w:val="center"/>
              <w:rPr>
                <w:rFonts w:ascii="Times New Roman" w:hAnsi="Times New Roman" w:cs="Times New Roman"/>
                <w:sz w:val="22"/>
                <w:szCs w:val="22"/>
              </w:rPr>
            </w:pPr>
            <w:r w:rsidRPr="004F0E9C">
              <w:rPr>
                <w:rFonts w:ascii="Times New Roman" w:hAnsi="Times New Roman" w:cs="Times New Roman"/>
                <w:sz w:val="22"/>
                <w:szCs w:val="22"/>
              </w:rPr>
              <w:t>8</w:t>
            </w:r>
          </w:p>
        </w:tc>
        <w:tc>
          <w:tcPr>
            <w:tcW w:w="1075" w:type="dxa"/>
          </w:tcPr>
          <w:p w14:paraId="4A925D4B" w14:textId="619523B8"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$54,150</w:t>
            </w:r>
          </w:p>
        </w:tc>
        <w:tc>
          <w:tcPr>
            <w:tcW w:w="1530" w:type="dxa"/>
          </w:tcPr>
          <w:p w14:paraId="6C11E075" w14:textId="07B2756E"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$0-$13,538</w:t>
            </w:r>
          </w:p>
        </w:tc>
        <w:tc>
          <w:tcPr>
            <w:tcW w:w="1980" w:type="dxa"/>
          </w:tcPr>
          <w:p w14:paraId="04DCDD05" w14:textId="413D0656"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$13,539-$27,075</w:t>
            </w:r>
          </w:p>
        </w:tc>
        <w:tc>
          <w:tcPr>
            <w:tcW w:w="1800" w:type="dxa"/>
          </w:tcPr>
          <w:p w14:paraId="2817CDAD" w14:textId="7CBBAACA" w:rsidR="00336603" w:rsidRPr="004F0E9C" w:rsidRDefault="00D15B50" w:rsidP="00D15B50">
            <w:pPr>
              <w:jc w:val="center"/>
              <w:rPr>
                <w:rFonts w:ascii="Times New Roman" w:hAnsi="Times New Roman" w:cs="Times New Roman"/>
                <w:sz w:val="22"/>
                <w:szCs w:val="22"/>
              </w:rPr>
            </w:pPr>
            <w:r w:rsidRPr="004F0E9C">
              <w:rPr>
                <w:rFonts w:ascii="Times New Roman" w:hAnsi="Times New Roman" w:cs="Times New Roman"/>
                <w:sz w:val="22"/>
                <w:szCs w:val="22"/>
              </w:rPr>
              <w:t>$27,076-$40,613</w:t>
            </w:r>
          </w:p>
        </w:tc>
        <w:tc>
          <w:tcPr>
            <w:tcW w:w="1795" w:type="dxa"/>
          </w:tcPr>
          <w:p w14:paraId="343A3CEA" w14:textId="59434F60" w:rsidR="00336603" w:rsidRPr="004F0E9C" w:rsidRDefault="004F0E9C" w:rsidP="00D15B50">
            <w:pPr>
              <w:jc w:val="center"/>
              <w:rPr>
                <w:rFonts w:ascii="Times New Roman" w:hAnsi="Times New Roman" w:cs="Times New Roman"/>
                <w:sz w:val="22"/>
                <w:szCs w:val="22"/>
              </w:rPr>
            </w:pPr>
            <w:r w:rsidRPr="004F0E9C">
              <w:rPr>
                <w:rFonts w:ascii="Times New Roman" w:hAnsi="Times New Roman" w:cs="Times New Roman"/>
                <w:sz w:val="22"/>
                <w:szCs w:val="22"/>
              </w:rPr>
              <w:t>$40,614-$54,150</w:t>
            </w:r>
          </w:p>
        </w:tc>
      </w:tr>
    </w:tbl>
    <w:p w14:paraId="674B44FC" w14:textId="77777777" w:rsidR="00336603" w:rsidRDefault="00336603" w:rsidP="00336603">
      <w:pPr>
        <w:rPr>
          <w:rFonts w:ascii="Times New Roman" w:hAnsi="Times New Roman" w:cs="Times New Roman"/>
        </w:rPr>
      </w:pPr>
    </w:p>
    <w:p w14:paraId="7CAC6B42" w14:textId="624454A4" w:rsidR="004F0E9C" w:rsidRDefault="004F0E9C" w:rsidP="00336603">
      <w:pPr>
        <w:rPr>
          <w:rFonts w:ascii="Times New Roman" w:hAnsi="Times New Roman" w:cs="Times New Roman"/>
        </w:rPr>
      </w:pPr>
      <w:r>
        <w:rPr>
          <w:rFonts w:ascii="Times New Roman" w:hAnsi="Times New Roman" w:cs="Times New Roman"/>
        </w:rPr>
        <w:t>Additional person: $5,500</w:t>
      </w:r>
    </w:p>
    <w:p w14:paraId="4C8A67A0" w14:textId="77777777" w:rsidR="004F0E9C" w:rsidRDefault="004F0E9C" w:rsidP="00336603">
      <w:pPr>
        <w:rPr>
          <w:rFonts w:ascii="Times New Roman" w:hAnsi="Times New Roman" w:cs="Times New Roman"/>
        </w:rPr>
      </w:pPr>
    </w:p>
    <w:p w14:paraId="107D45AE" w14:textId="29979D12" w:rsidR="004F0E9C" w:rsidRPr="004F0E9C" w:rsidRDefault="004F0E9C" w:rsidP="00336603">
      <w:pPr>
        <w:rPr>
          <w:rFonts w:ascii="Times New Roman" w:hAnsi="Times New Roman" w:cs="Times New Roman"/>
          <w:b/>
          <w:bCs/>
        </w:rPr>
      </w:pPr>
      <w:r>
        <w:rPr>
          <w:rFonts w:ascii="Times New Roman" w:hAnsi="Times New Roman" w:cs="Times New Roman"/>
          <w:b/>
          <w:bCs/>
        </w:rPr>
        <w:t>Failure to meet the Income Guidelines, Asset Guideline</w:t>
      </w:r>
      <w:r w:rsidR="00CC28ED">
        <w:rPr>
          <w:rFonts w:ascii="Times New Roman" w:hAnsi="Times New Roman" w:cs="Times New Roman"/>
          <w:b/>
          <w:bCs/>
        </w:rPr>
        <w:t>s</w:t>
      </w:r>
      <w:r>
        <w:rPr>
          <w:rFonts w:ascii="Times New Roman" w:hAnsi="Times New Roman" w:cs="Times New Roman"/>
          <w:b/>
          <w:bCs/>
        </w:rPr>
        <w:t>, or submission of an incomplete application will result in a denial of the poverty exemption.</w:t>
      </w:r>
    </w:p>
    <w:sectPr w:rsidR="004F0E9C" w:rsidRPr="004F0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57C72"/>
    <w:multiLevelType w:val="hybridMultilevel"/>
    <w:tmpl w:val="BA90BAC2"/>
    <w:lvl w:ilvl="0" w:tplc="E348FA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080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A4"/>
    <w:rsid w:val="00336603"/>
    <w:rsid w:val="00400DD9"/>
    <w:rsid w:val="0043472C"/>
    <w:rsid w:val="00440539"/>
    <w:rsid w:val="004F0E9C"/>
    <w:rsid w:val="00BF6DA4"/>
    <w:rsid w:val="00CC28ED"/>
    <w:rsid w:val="00CD62BA"/>
    <w:rsid w:val="00D15B50"/>
    <w:rsid w:val="00F01695"/>
    <w:rsid w:val="00F3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4678"/>
  <w15:chartTrackingRefBased/>
  <w15:docId w15:val="{5BAA2246-E7F5-47B7-A37F-E6FE46D2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D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D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D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D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DA4"/>
    <w:rPr>
      <w:rFonts w:eastAsiaTheme="majorEastAsia" w:cstheme="majorBidi"/>
      <w:color w:val="272727" w:themeColor="text1" w:themeTint="D8"/>
    </w:rPr>
  </w:style>
  <w:style w:type="paragraph" w:styleId="Title">
    <w:name w:val="Title"/>
    <w:basedOn w:val="Normal"/>
    <w:next w:val="Normal"/>
    <w:link w:val="TitleChar"/>
    <w:uiPriority w:val="10"/>
    <w:qFormat/>
    <w:rsid w:val="00BF6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DA4"/>
    <w:pPr>
      <w:spacing w:before="160"/>
      <w:jc w:val="center"/>
    </w:pPr>
    <w:rPr>
      <w:i/>
      <w:iCs/>
      <w:color w:val="404040" w:themeColor="text1" w:themeTint="BF"/>
    </w:rPr>
  </w:style>
  <w:style w:type="character" w:customStyle="1" w:styleId="QuoteChar">
    <w:name w:val="Quote Char"/>
    <w:basedOn w:val="DefaultParagraphFont"/>
    <w:link w:val="Quote"/>
    <w:uiPriority w:val="29"/>
    <w:rsid w:val="00BF6DA4"/>
    <w:rPr>
      <w:i/>
      <w:iCs/>
      <w:color w:val="404040" w:themeColor="text1" w:themeTint="BF"/>
    </w:rPr>
  </w:style>
  <w:style w:type="paragraph" w:styleId="ListParagraph">
    <w:name w:val="List Paragraph"/>
    <w:basedOn w:val="Normal"/>
    <w:uiPriority w:val="34"/>
    <w:qFormat/>
    <w:rsid w:val="00BF6DA4"/>
    <w:pPr>
      <w:ind w:left="720"/>
      <w:contextualSpacing/>
    </w:pPr>
  </w:style>
  <w:style w:type="character" w:styleId="IntenseEmphasis">
    <w:name w:val="Intense Emphasis"/>
    <w:basedOn w:val="DefaultParagraphFont"/>
    <w:uiPriority w:val="21"/>
    <w:qFormat/>
    <w:rsid w:val="00BF6DA4"/>
    <w:rPr>
      <w:i/>
      <w:iCs/>
      <w:color w:val="2F5496" w:themeColor="accent1" w:themeShade="BF"/>
    </w:rPr>
  </w:style>
  <w:style w:type="paragraph" w:styleId="IntenseQuote">
    <w:name w:val="Intense Quote"/>
    <w:basedOn w:val="Normal"/>
    <w:next w:val="Normal"/>
    <w:link w:val="IntenseQuoteChar"/>
    <w:uiPriority w:val="30"/>
    <w:qFormat/>
    <w:rsid w:val="00BF6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DA4"/>
    <w:rPr>
      <w:i/>
      <w:iCs/>
      <w:color w:val="2F5496" w:themeColor="accent1" w:themeShade="BF"/>
    </w:rPr>
  </w:style>
  <w:style w:type="character" w:styleId="IntenseReference">
    <w:name w:val="Intense Reference"/>
    <w:basedOn w:val="DefaultParagraphFont"/>
    <w:uiPriority w:val="32"/>
    <w:qFormat/>
    <w:rsid w:val="00BF6DA4"/>
    <w:rPr>
      <w:b/>
      <w:bCs/>
      <w:smallCaps/>
      <w:color w:val="2F5496" w:themeColor="accent1" w:themeShade="BF"/>
      <w:spacing w:val="5"/>
    </w:rPr>
  </w:style>
  <w:style w:type="table" w:styleId="TableGrid">
    <w:name w:val="Table Grid"/>
    <w:basedOn w:val="TableNormal"/>
    <w:uiPriority w:val="39"/>
    <w:rsid w:val="00336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Township</dc:creator>
  <cp:keywords/>
  <dc:description/>
  <cp:lastModifiedBy>Otto Township</cp:lastModifiedBy>
  <cp:revision>3</cp:revision>
  <cp:lastPrinted>2026-02-18T17:07:00Z</cp:lastPrinted>
  <dcterms:created xsi:type="dcterms:W3CDTF">2026-02-18T17:10:00Z</dcterms:created>
  <dcterms:modified xsi:type="dcterms:W3CDTF">2026-02-18T17:10:00Z</dcterms:modified>
</cp:coreProperties>
</file>